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269213CA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211162">
        <w:rPr>
          <w:rFonts w:ascii="Arial" w:hAnsi="Arial" w:cs="Arial"/>
          <w:b/>
          <w:bCs/>
          <w:sz w:val="22"/>
          <w:szCs w:val="22"/>
          <w:lang w:val="sk-SK"/>
        </w:rPr>
        <w:t>Občianske združenie 1. FC TATRAN Prešov - mládež</w:t>
      </w:r>
    </w:p>
    <w:p w14:paraId="378E8F2E" w14:textId="6FF36DEF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Nábrežná 4418/1</w:t>
      </w:r>
      <w:r w:rsidR="00D20DA2">
        <w:rPr>
          <w:rFonts w:ascii="Arial" w:hAnsi="Arial" w:cs="Arial"/>
          <w:sz w:val="22"/>
          <w:szCs w:val="22"/>
          <w:lang w:val="sk-SK"/>
        </w:rPr>
        <w:t>, 080 01 Prešov</w:t>
      </w:r>
    </w:p>
    <w:p w14:paraId="59EAEBCC" w14:textId="30DF02E2" w:rsidR="00BB7D99" w:rsidRPr="001D0A89" w:rsidRDefault="00D5581B" w:rsidP="0007296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JUDr. Vlastislav Laskovský, MBA, prezident klubu</w:t>
      </w:r>
    </w:p>
    <w:p w14:paraId="68298241" w14:textId="59A815D8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54 541 441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0C003A9A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2121791562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C31013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773F5A9A" w14:textId="39C4506D" w:rsidR="00427D5D" w:rsidRPr="00427D5D" w:rsidRDefault="00D5581B" w:rsidP="00427D5D">
      <w:pPr>
        <w:pStyle w:val="Zkladntext3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D0A89">
        <w:rPr>
          <w:rFonts w:ascii="Arial" w:hAnsi="Arial" w:cs="Arial"/>
          <w:sz w:val="22"/>
          <w:szCs w:val="22"/>
        </w:rPr>
        <w:t xml:space="preserve">Objednávateľ sa zaväzuje prevziať riadne dokončené dielo v rozsahu a za podmienok </w:t>
      </w:r>
      <w:r w:rsidRPr="00427D5D">
        <w:rPr>
          <w:rFonts w:ascii="Arial" w:hAnsi="Arial" w:cs="Arial"/>
          <w:sz w:val="22"/>
          <w:szCs w:val="22"/>
        </w:rPr>
        <w:t>dohodnutých v tejto zmluve, zaplatiť dohodnutú cenu za dielo a poskytnúť potrebnú súčinnosť.</w:t>
      </w:r>
      <w:r w:rsidR="00B4519D" w:rsidRPr="00427D5D">
        <w:rPr>
          <w:rFonts w:ascii="Arial" w:hAnsi="Arial" w:cs="Arial"/>
          <w:sz w:val="22"/>
          <w:szCs w:val="22"/>
        </w:rPr>
        <w:t xml:space="preserve"> </w:t>
      </w:r>
      <w:r w:rsidRPr="00427D5D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C31013" w:rsidRPr="00427D5D">
        <w:rPr>
          <w:rFonts w:ascii="Arial" w:hAnsi="Arial" w:cs="Arial"/>
          <w:sz w:val="22"/>
          <w:szCs w:val="22"/>
        </w:rPr>
        <w:t xml:space="preserve"> </w:t>
      </w:r>
      <w:r w:rsidR="00D20DA2">
        <w:rPr>
          <w:rFonts w:ascii="Arial" w:hAnsi="Arial" w:cs="Arial"/>
          <w:sz w:val="22"/>
          <w:szCs w:val="22"/>
        </w:rPr>
        <w:t>FUT</w:t>
      </w:r>
      <w:r w:rsidR="00211162">
        <w:rPr>
          <w:rFonts w:ascii="Arial" w:hAnsi="Arial" w:cs="Arial"/>
          <w:sz w:val="22"/>
          <w:szCs w:val="22"/>
        </w:rPr>
        <w:t>B</w:t>
      </w:r>
      <w:r w:rsidR="00D20DA2">
        <w:rPr>
          <w:rFonts w:ascii="Arial" w:hAnsi="Arial" w:cs="Arial"/>
          <w:sz w:val="22"/>
          <w:szCs w:val="22"/>
        </w:rPr>
        <w:t xml:space="preserve">ALOVÁ </w:t>
      </w:r>
      <w:r w:rsidR="00211162">
        <w:rPr>
          <w:rFonts w:ascii="Arial" w:hAnsi="Arial" w:cs="Arial"/>
          <w:sz w:val="22"/>
          <w:szCs w:val="22"/>
        </w:rPr>
        <w:t>A</w:t>
      </w:r>
      <w:r w:rsidR="00D20DA2">
        <w:rPr>
          <w:rFonts w:ascii="Arial" w:hAnsi="Arial" w:cs="Arial"/>
          <w:sz w:val="22"/>
          <w:szCs w:val="22"/>
        </w:rPr>
        <w:t>KADÉMIA 1.</w:t>
      </w:r>
      <w:r w:rsidR="00211162">
        <w:rPr>
          <w:rFonts w:ascii="Arial" w:hAnsi="Arial" w:cs="Arial"/>
          <w:sz w:val="22"/>
          <w:szCs w:val="22"/>
        </w:rPr>
        <w:t xml:space="preserve"> </w:t>
      </w:r>
      <w:r w:rsidR="00D20DA2">
        <w:rPr>
          <w:rFonts w:ascii="Arial" w:hAnsi="Arial" w:cs="Arial"/>
          <w:sz w:val="22"/>
          <w:szCs w:val="22"/>
        </w:rPr>
        <w:t>FC TATRAN PREŠOV – REKONŠTRUKCIA OSVETLENIA FUTBALOVEJ PLOCHY</w:t>
      </w:r>
      <w:r w:rsidR="00DC78ED" w:rsidRPr="00427D5D">
        <w:rPr>
          <w:rFonts w:ascii="Arial" w:hAnsi="Arial" w:cs="Arial"/>
          <w:sz w:val="22"/>
          <w:szCs w:val="22"/>
        </w:rPr>
        <w:t xml:space="preserve">, miesto dodania: </w:t>
      </w:r>
      <w:r w:rsidR="00D20DA2">
        <w:rPr>
          <w:rFonts w:ascii="Arial" w:hAnsi="Arial" w:cs="Arial"/>
          <w:sz w:val="22"/>
          <w:szCs w:val="22"/>
        </w:rPr>
        <w:t>Prešov</w:t>
      </w:r>
      <w:r w:rsidR="003C4D91">
        <w:rPr>
          <w:rFonts w:ascii="Arial" w:hAnsi="Arial" w:cs="Arial"/>
          <w:bCs/>
          <w:sz w:val="22"/>
          <w:szCs w:val="22"/>
        </w:rPr>
        <w:t xml:space="preserve">, katastrálne územie </w:t>
      </w:r>
      <w:r w:rsidR="00D20DA2">
        <w:rPr>
          <w:rFonts w:ascii="Arial" w:hAnsi="Arial" w:cs="Arial"/>
          <w:bCs/>
          <w:sz w:val="22"/>
          <w:szCs w:val="22"/>
        </w:rPr>
        <w:t>Prešov</w:t>
      </w:r>
      <w:r w:rsidR="003C4D91">
        <w:rPr>
          <w:rFonts w:ascii="Arial" w:hAnsi="Arial" w:cs="Arial"/>
          <w:bCs/>
          <w:sz w:val="22"/>
          <w:szCs w:val="22"/>
        </w:rPr>
        <w:t>.</w:t>
      </w:r>
    </w:p>
    <w:p w14:paraId="0B17BEAC" w14:textId="7BAEAD68" w:rsidR="00D5581B" w:rsidRPr="001D0A89" w:rsidRDefault="00D5581B" w:rsidP="00427D5D">
      <w:pPr>
        <w:pStyle w:val="Zkladntext3"/>
        <w:ind w:left="426"/>
        <w:jc w:val="both"/>
        <w:rPr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40412743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211162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211162" w:rsidRPr="00211162">
        <w:rPr>
          <w:rFonts w:ascii="Arial" w:hAnsi="Arial" w:cs="Arial"/>
          <w:sz w:val="22"/>
          <w:szCs w:val="22"/>
          <w:lang w:val="sk-SK"/>
        </w:rPr>
        <w:t>6</w:t>
      </w:r>
      <w:r w:rsidR="001161EE" w:rsidRPr="00211162">
        <w:rPr>
          <w:rFonts w:ascii="Arial" w:hAnsi="Arial" w:cs="Arial"/>
          <w:sz w:val="22"/>
          <w:szCs w:val="22"/>
          <w:lang w:val="sk-SK"/>
        </w:rPr>
        <w:t xml:space="preserve"> </w:t>
      </w:r>
      <w:r w:rsidRPr="00211162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 w:rsidRPr="00211162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Zmluvné termíny začatia a ukončenia prác a dodávok budú zmluvnými stranami zmenené len v prípade realizácie prác vo väčšom rozsahu oproti dojednanému predmetu zmluvy </w:t>
      </w:r>
      <w:r w:rsidRPr="001D0A89">
        <w:rPr>
          <w:rFonts w:ascii="Arial" w:hAnsi="Arial" w:cs="Arial"/>
          <w:sz w:val="22"/>
          <w:szCs w:val="22"/>
          <w:lang w:val="sk-SK"/>
        </w:rPr>
        <w:lastRenderedPageBreak/>
        <w:t>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položkovitým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Oznámenie reklamácie musí byť vykonané písomne a bez zbytočného odkladu (najneskôr do 10 dní od zistenia) na adresu zhotoviteľa. Zhotoviteľ bez zbytočného odkladu začne 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lastRenderedPageBreak/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1879C356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217718">
        <w:rPr>
          <w:rFonts w:ascii="Arial" w:hAnsi="Arial" w:cs="Arial"/>
          <w:sz w:val="22"/>
          <w:szCs w:val="22"/>
          <w:lang w:val="sk-SK"/>
        </w:rPr>
        <w:t> </w:t>
      </w:r>
      <w:r w:rsidR="00211162">
        <w:rPr>
          <w:rFonts w:ascii="Arial" w:hAnsi="Arial" w:cs="Arial"/>
          <w:sz w:val="22"/>
          <w:szCs w:val="22"/>
          <w:lang w:val="sk-SK"/>
        </w:rPr>
        <w:t>Prešove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23750010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</w:t>
      </w:r>
      <w:r w:rsidR="00211162">
        <w:rPr>
          <w:rFonts w:ascii="Arial" w:hAnsi="Arial" w:cs="Arial"/>
          <w:sz w:val="22"/>
          <w:szCs w:val="22"/>
          <w:lang w:val="sk-SK"/>
        </w:rPr>
        <w:t>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</w:t>
      </w:r>
      <w:r w:rsidRPr="001D0A89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.....</w:t>
      </w:r>
      <w:r w:rsidRPr="001D0A89">
        <w:rPr>
          <w:rFonts w:ascii="Arial" w:hAnsi="Arial" w:cs="Arial"/>
          <w:sz w:val="22"/>
          <w:szCs w:val="22"/>
          <w:lang w:val="sk-SK"/>
        </w:rPr>
        <w:t>.............</w:t>
      </w:r>
    </w:p>
    <w:p w14:paraId="386CAFE7" w14:textId="08BD6586" w:rsidR="00342504" w:rsidRPr="001D0A89" w:rsidRDefault="00211162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>JUDr. Vlastislav Laskovský, MBA</w:t>
      </w:r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52B6350B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13D10D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611FAC92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B1BFD7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53195313" w14:textId="53DE9BD8" w:rsidR="00C31013" w:rsidRDefault="00F37914" w:rsidP="00C31013">
      <w:pPr>
        <w:pStyle w:val="Zkladntex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...................</w:t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</w:t>
      </w:r>
    </w:p>
    <w:p w14:paraId="3CA51181" w14:textId="3CC123D4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9B4C" w14:textId="77777777" w:rsidR="00B13935" w:rsidRDefault="00B13935" w:rsidP="00062F04">
      <w:r>
        <w:separator/>
      </w:r>
    </w:p>
  </w:endnote>
  <w:endnote w:type="continuationSeparator" w:id="0">
    <w:p w14:paraId="2BF53B5B" w14:textId="77777777" w:rsidR="00B13935" w:rsidRDefault="00B13935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041809" w14:textId="77777777" w:rsidR="00B13935" w:rsidRDefault="00B13935" w:rsidP="00062F04">
      <w:r>
        <w:separator/>
      </w:r>
    </w:p>
  </w:footnote>
  <w:footnote w:type="continuationSeparator" w:id="0">
    <w:p w14:paraId="164942FB" w14:textId="77777777" w:rsidR="00B13935" w:rsidRDefault="00B13935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0E70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2965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1EF6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28D7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1162"/>
    <w:rsid w:val="002151F4"/>
    <w:rsid w:val="002153E0"/>
    <w:rsid w:val="00216852"/>
    <w:rsid w:val="00217718"/>
    <w:rsid w:val="00220508"/>
    <w:rsid w:val="002205F3"/>
    <w:rsid w:val="002218F0"/>
    <w:rsid w:val="00221EC8"/>
    <w:rsid w:val="002239B5"/>
    <w:rsid w:val="00223BEB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471AD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2DA9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4D91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27D5D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239A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1B0F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3C9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70D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6335"/>
    <w:rsid w:val="006F7CD2"/>
    <w:rsid w:val="006F7DCD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26A7F"/>
    <w:rsid w:val="007315E6"/>
    <w:rsid w:val="00732A28"/>
    <w:rsid w:val="00733274"/>
    <w:rsid w:val="007454A0"/>
    <w:rsid w:val="00745908"/>
    <w:rsid w:val="00751134"/>
    <w:rsid w:val="007514E0"/>
    <w:rsid w:val="007620D7"/>
    <w:rsid w:val="0076374A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2AF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56C6"/>
    <w:rsid w:val="0081309C"/>
    <w:rsid w:val="008153EC"/>
    <w:rsid w:val="0081569A"/>
    <w:rsid w:val="008179F8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03FD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0DF3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C2C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79A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1614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24198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2953"/>
    <w:rsid w:val="00AA304F"/>
    <w:rsid w:val="00AA33C3"/>
    <w:rsid w:val="00AA377E"/>
    <w:rsid w:val="00AA5164"/>
    <w:rsid w:val="00AA7646"/>
    <w:rsid w:val="00AB1652"/>
    <w:rsid w:val="00AB2250"/>
    <w:rsid w:val="00AB2FC9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3935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D66C3"/>
    <w:rsid w:val="00BE05DB"/>
    <w:rsid w:val="00BE2AAD"/>
    <w:rsid w:val="00BE3ED6"/>
    <w:rsid w:val="00BE625F"/>
    <w:rsid w:val="00BE778F"/>
    <w:rsid w:val="00BF208C"/>
    <w:rsid w:val="00C03488"/>
    <w:rsid w:val="00C049BE"/>
    <w:rsid w:val="00C11897"/>
    <w:rsid w:val="00C137FB"/>
    <w:rsid w:val="00C16952"/>
    <w:rsid w:val="00C21846"/>
    <w:rsid w:val="00C23631"/>
    <w:rsid w:val="00C25EA3"/>
    <w:rsid w:val="00C26CC9"/>
    <w:rsid w:val="00C31013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868"/>
    <w:rsid w:val="00CF3B44"/>
    <w:rsid w:val="00CF62E6"/>
    <w:rsid w:val="00D016D3"/>
    <w:rsid w:val="00D02A6A"/>
    <w:rsid w:val="00D04C04"/>
    <w:rsid w:val="00D06E36"/>
    <w:rsid w:val="00D102CE"/>
    <w:rsid w:val="00D117B7"/>
    <w:rsid w:val="00D127B2"/>
    <w:rsid w:val="00D129AA"/>
    <w:rsid w:val="00D12E1E"/>
    <w:rsid w:val="00D16C08"/>
    <w:rsid w:val="00D16CFF"/>
    <w:rsid w:val="00D20DA2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17E3F"/>
    <w:rsid w:val="00E229E1"/>
    <w:rsid w:val="00E25FF4"/>
    <w:rsid w:val="00E336E4"/>
    <w:rsid w:val="00E33BA5"/>
    <w:rsid w:val="00E367D9"/>
    <w:rsid w:val="00E37492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37914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1932</Words>
  <Characters>11017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Matúš Štulajter</cp:lastModifiedBy>
  <cp:revision>2</cp:revision>
  <cp:lastPrinted>2017-06-06T08:31:00Z</cp:lastPrinted>
  <dcterms:created xsi:type="dcterms:W3CDTF">2025-03-16T17:14:00Z</dcterms:created>
  <dcterms:modified xsi:type="dcterms:W3CDTF">2025-03-16T17:14:00Z</dcterms:modified>
</cp:coreProperties>
</file>